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5FF" w14:textId="77777777" w:rsidR="001D48C2" w:rsidRDefault="00F72B94">
      <w:pPr>
        <w:pStyle w:val="Hoofdtekst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6A4600" w14:textId="77777777" w:rsidR="001D48C2" w:rsidRDefault="00F72B94">
      <w:pPr>
        <w:pStyle w:val="Hoofdtekst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t xml:space="preserve"> </w:t>
      </w:r>
      <w:r>
        <w:rPr>
          <w:rFonts w:ascii="Arial" w:hAnsi="Arial"/>
          <w:b/>
          <w:bCs/>
          <w:sz w:val="28"/>
          <w:szCs w:val="28"/>
        </w:rPr>
        <w:t>Kijkwijzer Vakkenintegratie</w:t>
      </w:r>
    </w:p>
    <w:p w14:paraId="006A4601" w14:textId="77777777" w:rsidR="001D48C2" w:rsidRDefault="001D48C2">
      <w:pPr>
        <w:pStyle w:val="HoofdtekstA"/>
        <w:rPr>
          <w:rFonts w:ascii="Arial" w:eastAsia="Arial" w:hAnsi="Arial" w:cs="Arial"/>
          <w:sz w:val="20"/>
          <w:szCs w:val="20"/>
        </w:rPr>
      </w:pPr>
    </w:p>
    <w:p w14:paraId="006A4602" w14:textId="77777777" w:rsidR="001D48C2" w:rsidRDefault="00F72B94">
      <w:pPr>
        <w:pStyle w:val="Hoofdtekst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Toelichting</w:t>
      </w:r>
    </w:p>
    <w:p w14:paraId="006A4603" w14:textId="77777777" w:rsidR="001D48C2" w:rsidRDefault="00F72B94">
      <w:pPr>
        <w:pStyle w:val="Hoofdtekst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óó</w:t>
      </w:r>
      <w:r>
        <w:rPr>
          <w:rFonts w:ascii="Verdana" w:hAnsi="Verdana"/>
          <w:sz w:val="20"/>
          <w:szCs w:val="20"/>
        </w:rPr>
        <w:t xml:space="preserve">r goed gebruik van deze kijkwijzer, is het handig om eerst de verschillende vormen van vakkenintegratie  (onderdeel A) in kaart te brengen. </w:t>
      </w:r>
    </w:p>
    <w:p w14:paraId="006A4604" w14:textId="77777777" w:rsidR="001D48C2" w:rsidRDefault="00F72B94">
      <w:pPr>
        <w:pStyle w:val="Hoofdtekst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basis daarvan kunnen we expliciet maken welke </w:t>
      </w:r>
      <w:r>
        <w:rPr>
          <w:rFonts w:ascii="Verdana" w:hAnsi="Verdana"/>
          <w:sz w:val="20"/>
          <w:szCs w:val="20"/>
        </w:rPr>
        <w:t>verbindende principes worden gebruikt (onderdeel B). De rol van de docenten en het docententeam is daarbij cruciaal (onderdeel c). Tenslotte zijn de randvoorwaarden vanuit de schoolleiding de hefboom (D).</w:t>
      </w:r>
    </w:p>
    <w:p w14:paraId="006A4605" w14:textId="77777777" w:rsidR="001D48C2" w:rsidRDefault="00F72B94">
      <w:pPr>
        <w:pStyle w:val="Hoofdtekst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Elk van de 4 onderdelen (A,B, C &amp; D) scoren wij apa</w:t>
      </w:r>
      <w:r>
        <w:rPr>
          <w:rFonts w:ascii="Verdana" w:hAnsi="Verdana"/>
          <w:sz w:val="20"/>
          <w:szCs w:val="20"/>
        </w:rPr>
        <w:t>rt, zodat in 1 oogopslag te zien is, waar de hefboom voor aanpassingen ligt. Bijkomend voordeel is dat deze kijkwijzer zowel op docenten(team) als op managementniveau gebruikt kan worden, om (</w:t>
      </w:r>
      <w:proofErr w:type="spellStart"/>
      <w:r>
        <w:rPr>
          <w:rFonts w:ascii="Verdana" w:hAnsi="Verdana"/>
          <w:sz w:val="20"/>
          <w:szCs w:val="20"/>
        </w:rPr>
        <w:t>sturings</w:t>
      </w:r>
      <w:proofErr w:type="spellEnd"/>
      <w:r>
        <w:rPr>
          <w:rFonts w:ascii="Verdana" w:hAnsi="Verdana"/>
          <w:sz w:val="20"/>
          <w:szCs w:val="20"/>
        </w:rPr>
        <w:t>)informatie te verzamelen.</w:t>
      </w:r>
    </w:p>
    <w:p w14:paraId="006A4606" w14:textId="77777777" w:rsidR="001D48C2" w:rsidRDefault="001D48C2">
      <w:pPr>
        <w:pStyle w:val="HoofdtekstA"/>
        <w:rPr>
          <w:rFonts w:ascii="Verdana" w:eastAsia="Verdana" w:hAnsi="Verdana" w:cs="Verdana"/>
          <w:b/>
          <w:bCs/>
          <w:sz w:val="20"/>
          <w:szCs w:val="20"/>
        </w:rPr>
      </w:pPr>
    </w:p>
    <w:p w14:paraId="006A4607" w14:textId="77777777" w:rsidR="001D48C2" w:rsidRDefault="00F72B94">
      <w:pPr>
        <w:pStyle w:val="Hoofdtekst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Relevante bronnen: hierna vo</w:t>
      </w:r>
      <w:r>
        <w:rPr>
          <w:rFonts w:ascii="Verdana" w:hAnsi="Verdana"/>
          <w:b/>
          <w:bCs/>
          <w:sz w:val="20"/>
          <w:szCs w:val="20"/>
        </w:rPr>
        <w:t>lgt een selectie van de belangrijkste bronnen van deze kijkwijzer.</w:t>
      </w:r>
    </w:p>
    <w:p w14:paraId="006A4608" w14:textId="77777777" w:rsidR="001D48C2" w:rsidRDefault="00F72B94">
      <w:pPr>
        <w:numPr>
          <w:ilvl w:val="0"/>
          <w:numId w:val="2"/>
        </w:numPr>
        <w:rPr>
          <w:rFonts w:ascii="Verdana" w:hAnsi="Verdana"/>
          <w:color w:val="00A0CD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https://wij-leren.nl/vakintegratie-leerkracht-docent-competenties.php</w:t>
      </w:r>
    </w:p>
    <w:p w14:paraId="006A4609" w14:textId="77777777" w:rsidR="001D48C2" w:rsidRDefault="001D48C2">
      <w:pPr>
        <w:rPr>
          <w:rFonts w:ascii="Verdana" w:eastAsia="Verdana" w:hAnsi="Verdana" w:cs="Verdana"/>
          <w:color w:val="666666"/>
          <w:sz w:val="20"/>
          <w:szCs w:val="20"/>
          <w:shd w:val="clear" w:color="auto" w:fill="FFFFFF"/>
        </w:rPr>
      </w:pPr>
    </w:p>
    <w:p w14:paraId="006A460A" w14:textId="77777777" w:rsidR="001D48C2" w:rsidRDefault="00F72B94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Ik hoop met deze kijkwijzer een realistisch en concreet beeld van vakkenintegratie te bewerkstelligen binnen </w:t>
      </w:r>
      <w:r>
        <w:rPr>
          <w:rFonts w:ascii="Verdana" w:hAnsi="Verdana"/>
          <w:sz w:val="20"/>
          <w:szCs w:val="20"/>
          <w:shd w:val="clear" w:color="auto" w:fill="FFFFFF"/>
        </w:rPr>
        <w:t>docententeams.</w:t>
      </w:r>
    </w:p>
    <w:p w14:paraId="006A460B" w14:textId="77777777" w:rsidR="001D48C2" w:rsidRDefault="00F72B94">
      <w:pPr>
        <w:rPr>
          <w:rFonts w:ascii="Verdana" w:eastAsia="Verdana" w:hAnsi="Verdana" w:cs="Verdana"/>
          <w:color w:val="00A0CD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Muri</w:t>
      </w:r>
      <w:r>
        <w:rPr>
          <w:rFonts w:ascii="Verdana" w:hAnsi="Verdana"/>
          <w:sz w:val="20"/>
          <w:szCs w:val="20"/>
          <w:shd w:val="clear" w:color="auto" w:fill="FFFFFF"/>
        </w:rPr>
        <w:t>ë</w:t>
      </w:r>
      <w:r>
        <w:rPr>
          <w:rFonts w:ascii="Verdana" w:hAnsi="Verdana"/>
          <w:sz w:val="20"/>
          <w:szCs w:val="20"/>
          <w:shd w:val="clear" w:color="auto" w:fill="FFFFFF"/>
        </w:rPr>
        <w:t>l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Daal </w:t>
      </w:r>
      <w:r>
        <w:rPr>
          <w:rFonts w:ascii="Verdana" w:hAnsi="Verdana"/>
          <w:sz w:val="20"/>
          <w:szCs w:val="20"/>
          <w:shd w:val="clear" w:color="auto" w:fill="FFFFFF"/>
        </w:rPr>
        <w:t>©</w:t>
      </w:r>
      <w:r>
        <w:rPr>
          <w:rFonts w:ascii="Verdana" w:hAnsi="Verdana"/>
          <w:sz w:val="20"/>
          <w:szCs w:val="20"/>
          <w:shd w:val="clear" w:color="auto" w:fill="FFFFFF"/>
        </w:rPr>
        <w:t>2021.</w:t>
      </w:r>
    </w:p>
    <w:p w14:paraId="006A460C" w14:textId="77777777" w:rsidR="001D48C2" w:rsidRDefault="00F72B94">
      <w:pPr>
        <w:tabs>
          <w:tab w:val="left" w:pos="648"/>
          <w:tab w:val="left" w:pos="1296"/>
          <w:tab w:val="left" w:pos="1944"/>
          <w:tab w:val="left" w:pos="2592"/>
          <w:tab w:val="left" w:pos="3240"/>
          <w:tab w:val="left" w:pos="3888"/>
          <w:tab w:val="left" w:pos="4536"/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200"/>
        <w:outlineLvl w:val="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Algemene informatie</w:t>
      </w:r>
    </w:p>
    <w:p w14:paraId="006A460D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14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2453"/>
      </w:tblGrid>
      <w:tr w:rsidR="001D48C2" w14:paraId="006A4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460E" w14:textId="77777777" w:rsidR="001D48C2" w:rsidRDefault="00F72B94">
            <w:pPr>
              <w:pStyle w:val="HoofdtekstA"/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  <w:p w14:paraId="006A460F" w14:textId="77777777" w:rsidR="001D48C2" w:rsidRDefault="00F72B94">
            <w:pPr>
              <w:pStyle w:val="HoofdtekstA"/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006A4610" w14:textId="77777777" w:rsidR="001D48C2" w:rsidRDefault="00F72B94">
            <w:pPr>
              <w:pStyle w:val="HoofdtekstA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Vakroute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(s):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006A4611" w14:textId="77777777" w:rsidR="001D48C2" w:rsidRDefault="001D48C2">
            <w:pPr>
              <w:pStyle w:val="HoofdtekstA"/>
            </w:pPr>
          </w:p>
          <w:p w14:paraId="006A4612" w14:textId="77777777" w:rsidR="001D48C2" w:rsidRDefault="00F72B94">
            <w:pPr>
              <w:pStyle w:val="HoofdtekstA"/>
            </w:pPr>
            <w:r>
              <w:rPr>
                <w:rFonts w:ascii="Verdana" w:hAnsi="Verdana"/>
                <w:sz w:val="20"/>
                <w:szCs w:val="20"/>
              </w:rPr>
              <w:t>Profiel(en):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006A4613" w14:textId="77777777" w:rsidR="001D48C2" w:rsidRDefault="001D48C2">
            <w:pPr>
              <w:pStyle w:val="HoofdtekstA"/>
            </w:pPr>
          </w:p>
          <w:p w14:paraId="006A4614" w14:textId="77777777" w:rsidR="001D48C2" w:rsidRDefault="00F72B94">
            <w:pPr>
              <w:pStyle w:val="HoofdtekstA"/>
            </w:pPr>
            <w:r>
              <w:rPr>
                <w:rFonts w:ascii="Verdana" w:hAnsi="Verdana"/>
                <w:sz w:val="20"/>
                <w:szCs w:val="20"/>
              </w:rPr>
              <w:t>Vakken:</w:t>
            </w:r>
          </w:p>
          <w:p w14:paraId="006A4615" w14:textId="77777777" w:rsidR="001D48C2" w:rsidRDefault="001D48C2">
            <w:pPr>
              <w:pStyle w:val="HoofdtekstA"/>
            </w:pPr>
          </w:p>
          <w:p w14:paraId="006A4616" w14:textId="77777777" w:rsidR="001D48C2" w:rsidRDefault="00F72B94">
            <w:pPr>
              <w:pStyle w:val="HoofdtekstA"/>
            </w:pPr>
            <w:r>
              <w:rPr>
                <w:rFonts w:ascii="Verdana" w:hAnsi="Verdana"/>
                <w:sz w:val="20"/>
                <w:szCs w:val="20"/>
              </w:rPr>
              <w:t>Context:</w:t>
            </w:r>
          </w:p>
        </w:tc>
        <w:tc>
          <w:tcPr>
            <w:tcW w:w="12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4617" w14:textId="77777777" w:rsidR="001D48C2" w:rsidRDefault="001D48C2"/>
        </w:tc>
      </w:tr>
    </w:tbl>
    <w:p w14:paraId="006A4619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1A" w14:textId="77777777" w:rsidR="001D48C2" w:rsidRDefault="00F72B94">
      <w:pPr>
        <w:pStyle w:val="Hoofdtekst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6A461B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1C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1D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1E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1F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0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1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2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3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4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5" w14:textId="77777777" w:rsidR="001D48C2" w:rsidRDefault="00F72B94">
      <w:pPr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Tabel 1: Verschillende vormen van vakkenintegratie; bron </w:t>
      </w:r>
      <w:hyperlink r:id="rId7" w:history="1">
        <w:r>
          <w:rPr>
            <w:rStyle w:val="Hyperlink0"/>
            <w:rFonts w:ascii="Verdana" w:hAnsi="Verdana"/>
            <w:i/>
            <w:iCs/>
            <w:sz w:val="20"/>
            <w:szCs w:val="20"/>
            <w:shd w:val="clear" w:color="auto" w:fill="FFFFFF"/>
          </w:rPr>
          <w:t>https://vakintegratie6.webnode.nl/wat-is-vakintegratie/</w:t>
        </w:r>
      </w:hyperlink>
    </w:p>
    <w:p w14:paraId="006A4626" w14:textId="77777777" w:rsidR="001D48C2" w:rsidRDefault="00F72B94">
      <w:pPr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Nb hier spreekt men van 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vakint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06A46E1" wp14:editId="006A46E2">
            <wp:simplePos x="0" y="0"/>
            <wp:positionH relativeFrom="page">
              <wp:posOffset>567690</wp:posOffset>
            </wp:positionH>
            <wp:positionV relativeFrom="page">
              <wp:posOffset>1340930</wp:posOffset>
            </wp:positionV>
            <wp:extent cx="7620000" cy="4417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4"/>
                <wp:lineTo x="0" y="21614"/>
                <wp:lineTo x="0" y="0"/>
              </wp:wrapPolygon>
            </wp:wrapThrough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41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egratie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. Ik geef de voorkeur aan vakkenintegratie!</w:t>
      </w:r>
    </w:p>
    <w:p w14:paraId="006A4627" w14:textId="77777777" w:rsidR="001D48C2" w:rsidRDefault="001D48C2">
      <w:pPr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8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9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A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B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C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D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E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2F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0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1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2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3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4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5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6" w14:textId="77777777" w:rsidR="001D48C2" w:rsidRDefault="001D48C2">
      <w:pPr>
        <w:widowControl w:val="0"/>
        <w:ind w:left="108" w:hanging="108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006A4637" w14:textId="77777777" w:rsidR="001D48C2" w:rsidRDefault="001D48C2">
      <w:pPr>
        <w:pStyle w:val="HoofdtekstA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</w:p>
    <w:p w14:paraId="006A4638" w14:textId="77777777" w:rsidR="001D48C2" w:rsidRDefault="001D48C2">
      <w:pPr>
        <w:pStyle w:val="HoofdtekstA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</w:p>
    <w:p w14:paraId="006A4639" w14:textId="77777777" w:rsidR="001D48C2" w:rsidRDefault="001D48C2">
      <w:pPr>
        <w:pStyle w:val="HoofdtekstA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</w:p>
    <w:p w14:paraId="006A463A" w14:textId="77777777" w:rsidR="001D48C2" w:rsidRDefault="001D48C2">
      <w:pPr>
        <w:pStyle w:val="HoofdtekstA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</w:p>
    <w:p w14:paraId="006A463B" w14:textId="77777777" w:rsidR="001D48C2" w:rsidRDefault="001D48C2">
      <w:pPr>
        <w:pStyle w:val="HoofdtekstA"/>
        <w:rPr>
          <w:rFonts w:ascii="Verdana" w:eastAsia="Verdana" w:hAnsi="Verdana" w:cs="Verdana"/>
          <w:b/>
          <w:bCs/>
          <w:sz w:val="20"/>
          <w:szCs w:val="20"/>
        </w:rPr>
      </w:pPr>
    </w:p>
    <w:p w14:paraId="006A463C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3D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3E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3F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0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1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2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3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4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5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6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7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8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9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A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B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C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4D" w14:textId="77777777" w:rsidR="001D48C2" w:rsidRDefault="00F72B94">
      <w:pPr>
        <w:pStyle w:val="Hoofdtekst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Toelichting A. Dit onderdeel geeft de state of </w:t>
      </w:r>
      <w:proofErr w:type="spellStart"/>
      <w:r>
        <w:rPr>
          <w:rFonts w:ascii="Verdana" w:hAnsi="Verdana"/>
          <w:i/>
          <w:iCs/>
          <w:sz w:val="20"/>
          <w:szCs w:val="20"/>
        </w:rPr>
        <w:t>the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art weer van Vakkenintegratie. Het is een eerste nulmeting; waar staan wij nu</w:t>
      </w:r>
      <w:r>
        <w:rPr>
          <w:rFonts w:ascii="Verdana" w:hAnsi="Verdana"/>
          <w:sz w:val="20"/>
          <w:szCs w:val="20"/>
        </w:rPr>
        <w:t>?</w:t>
      </w:r>
    </w:p>
    <w:p w14:paraId="006A464E" w14:textId="77777777" w:rsidR="001D48C2" w:rsidRDefault="001D48C2">
      <w:pPr>
        <w:rPr>
          <w:rFonts w:ascii="Verdana" w:eastAsia="Verdana" w:hAnsi="Verdana" w:cs="Verdana"/>
          <w:color w:val="2A2A2A"/>
          <w:sz w:val="20"/>
          <w:szCs w:val="20"/>
          <w:shd w:val="clear" w:color="auto" w:fill="FFFFFF"/>
        </w:rPr>
      </w:pPr>
    </w:p>
    <w:tbl>
      <w:tblPr>
        <w:tblStyle w:val="TableNormal"/>
        <w:tblW w:w="144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9964"/>
      </w:tblGrid>
      <w:tr w:rsidR="001D48C2" w14:paraId="006A4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4F" w14:textId="77777777" w:rsidR="001D48C2" w:rsidRDefault="00F72B94">
            <w:r>
              <w:rPr>
                <w:rFonts w:ascii="Arial" w:hAnsi="Arial"/>
                <w:b/>
                <w:bCs/>
                <w:sz w:val="20"/>
                <w:szCs w:val="20"/>
              </w:rPr>
              <w:t>Nulmeting: niveau(s) van vakkenintegratie</w:t>
            </w:r>
          </w:p>
        </w:tc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0" w14:textId="77777777" w:rsidR="001D48C2" w:rsidRDefault="00F72B94">
            <w:pPr>
              <w:pStyle w:val="Tabelstijl1"/>
            </w:pPr>
            <w:r>
              <w:t>O</w:t>
            </w:r>
            <w:r>
              <w:t>pmerkingen</w:t>
            </w:r>
          </w:p>
        </w:tc>
      </w:tr>
      <w:tr w:rsidR="001D48C2" w14:paraId="006A4654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2" w14:textId="77777777" w:rsidR="001D48C2" w:rsidRDefault="00F72B94">
            <w:proofErr w:type="spellStart"/>
            <w:r>
              <w:rPr>
                <w:sz w:val="20"/>
                <w:szCs w:val="20"/>
              </w:rPr>
              <w:t>Transdisciplinair</w:t>
            </w:r>
            <w:proofErr w:type="spellEnd"/>
          </w:p>
        </w:tc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3" w14:textId="77777777" w:rsidR="001D48C2" w:rsidRDefault="001D48C2"/>
        </w:tc>
      </w:tr>
      <w:tr w:rsidR="001D48C2" w14:paraId="006A4657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5" w14:textId="77777777" w:rsidR="001D48C2" w:rsidRDefault="00F72B94">
            <w:r>
              <w:rPr>
                <w:sz w:val="20"/>
                <w:szCs w:val="20"/>
              </w:rPr>
              <w:t>Multidisciplinair</w:t>
            </w:r>
          </w:p>
        </w:tc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6" w14:textId="77777777" w:rsidR="001D48C2" w:rsidRDefault="001D48C2"/>
        </w:tc>
      </w:tr>
      <w:tr w:rsidR="001D48C2" w14:paraId="006A465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4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8" w14:textId="77777777" w:rsidR="001D48C2" w:rsidRDefault="00F72B94">
            <w:r>
              <w:rPr>
                <w:sz w:val="20"/>
                <w:szCs w:val="20"/>
              </w:rPr>
              <w:t>Isolatie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9" w14:textId="77777777" w:rsidR="001D48C2" w:rsidRDefault="001D48C2"/>
        </w:tc>
      </w:tr>
      <w:tr w:rsidR="001D48C2" w14:paraId="006A465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B" w14:textId="77777777" w:rsidR="001D48C2" w:rsidRDefault="00F72B94">
            <w:r>
              <w:rPr>
                <w:sz w:val="20"/>
                <w:szCs w:val="20"/>
              </w:rPr>
              <w:t>Interdisciplinair</w:t>
            </w:r>
          </w:p>
        </w:tc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C" w14:textId="77777777" w:rsidR="001D48C2" w:rsidRDefault="001D48C2"/>
        </w:tc>
      </w:tr>
      <w:tr w:rsidR="001D48C2" w14:paraId="006A4660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E" w14:textId="77777777" w:rsidR="001D48C2" w:rsidRDefault="00F72B94">
            <w:r>
              <w:rPr>
                <w:sz w:val="20"/>
                <w:szCs w:val="20"/>
              </w:rPr>
              <w:t>Genest</w:t>
            </w:r>
          </w:p>
        </w:tc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5F" w14:textId="77777777" w:rsidR="001D48C2" w:rsidRDefault="001D48C2"/>
        </w:tc>
      </w:tr>
      <w:tr w:rsidR="001D48C2" w14:paraId="006A466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61" w14:textId="77777777" w:rsidR="001D48C2" w:rsidRDefault="00F72B94">
            <w:r>
              <w:rPr>
                <w:sz w:val="20"/>
                <w:szCs w:val="20"/>
              </w:rPr>
              <w:t>Connectie</w:t>
            </w:r>
          </w:p>
        </w:tc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62" w14:textId="77777777" w:rsidR="001D48C2" w:rsidRDefault="001D48C2"/>
        </w:tc>
      </w:tr>
    </w:tbl>
    <w:p w14:paraId="006A4664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65" w14:textId="77777777" w:rsidR="001D48C2" w:rsidRDefault="001D48C2">
      <w:pPr>
        <w:pStyle w:val="HoofdtekstA"/>
        <w:rPr>
          <w:rFonts w:ascii="Verdana" w:eastAsia="Verdana" w:hAnsi="Verdana" w:cs="Verdana"/>
          <w:sz w:val="20"/>
          <w:szCs w:val="20"/>
        </w:rPr>
      </w:pPr>
    </w:p>
    <w:p w14:paraId="006A4666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7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8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9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A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B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C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D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E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6F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70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71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72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73" w14:textId="77777777" w:rsidR="001D48C2" w:rsidRDefault="00F72B94">
      <w:pPr>
        <w:rPr>
          <w:rFonts w:ascii="Verdana" w:eastAsia="Verdana" w:hAnsi="Verdana" w:cs="Verdana"/>
          <w:i/>
          <w:i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2A2A2A"/>
          <w:sz w:val="20"/>
          <w:szCs w:val="20"/>
          <w:shd w:val="clear" w:color="auto" w:fill="FFFFFF"/>
        </w:rPr>
        <w:t xml:space="preserve">Toelichting onderdeel B. Dit onderdeel geeft een indicatie van de aanwezigheid en geschiktheid van een </w:t>
      </w:r>
      <w:r>
        <w:rPr>
          <w:rFonts w:ascii="Verdana" w:hAnsi="Verdana"/>
          <w:i/>
          <w:iCs/>
          <w:color w:val="2A2A2A"/>
          <w:sz w:val="20"/>
          <w:szCs w:val="20"/>
          <w:shd w:val="clear" w:color="auto" w:fill="FFFFFF"/>
        </w:rPr>
        <w:t xml:space="preserve">verbindend principe. De </w:t>
      </w:r>
      <w:proofErr w:type="spellStart"/>
      <w:r>
        <w:rPr>
          <w:rFonts w:ascii="Verdana" w:hAnsi="Verdana"/>
          <w:i/>
          <w:iCs/>
          <w:color w:val="2A2A2A"/>
          <w:sz w:val="20"/>
          <w:szCs w:val="20"/>
          <w:shd w:val="clear" w:color="auto" w:fill="FFFFFF"/>
        </w:rPr>
        <w:t>integrating</w:t>
      </w:r>
      <w:proofErr w:type="spellEnd"/>
      <w:r>
        <w:rPr>
          <w:rFonts w:ascii="Verdana" w:hAnsi="Verdana"/>
          <w:i/>
          <w:iCs/>
          <w:color w:val="2A2A2A"/>
          <w:sz w:val="20"/>
          <w:szCs w:val="20"/>
          <w:shd w:val="clear" w:color="auto" w:fill="FFFFFF"/>
        </w:rPr>
        <w:t xml:space="preserve"> agent verbindt schoolvakken zodanig dat leerlingen en docenten het curriculum als een geheel herkennen en ervaren waardoor de betrokkenheid gestimuleerd word.</w:t>
      </w:r>
    </w:p>
    <w:p w14:paraId="006A4674" w14:textId="77777777" w:rsidR="001D48C2" w:rsidRDefault="001D48C2">
      <w:pPr>
        <w:rPr>
          <w:rFonts w:ascii="Verdana" w:eastAsia="Verdana" w:hAnsi="Verdana" w:cs="Verdana"/>
          <w:color w:val="2A2A2A"/>
          <w:sz w:val="20"/>
          <w:szCs w:val="20"/>
          <w:shd w:val="clear" w:color="auto" w:fill="FFFFFF"/>
        </w:rPr>
      </w:pP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0281"/>
      </w:tblGrid>
      <w:tr w:rsidR="001D48C2" w14:paraId="006A4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  <w:tblHeader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75" w14:textId="77777777" w:rsidR="001D48C2" w:rsidRDefault="00F72B94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Integrating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agent; verbindende principe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76" w14:textId="77777777" w:rsidR="001D48C2" w:rsidRDefault="00F72B94">
            <w:pPr>
              <w:pStyle w:val="Tabelstijl1"/>
            </w:pPr>
            <w:r>
              <w:t>O</w:t>
            </w:r>
            <w:r>
              <w:t>pmerkingen</w:t>
            </w:r>
          </w:p>
        </w:tc>
      </w:tr>
      <w:tr w:rsidR="001D48C2" w14:paraId="006A467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78" w14:textId="77777777" w:rsidR="001D48C2" w:rsidRDefault="00F72B94">
            <w:r>
              <w:rPr>
                <w:sz w:val="20"/>
                <w:szCs w:val="20"/>
              </w:rPr>
              <w:t>Projectmatig werken</w:t>
            </w:r>
          </w:p>
          <w:p w14:paraId="006A4679" w14:textId="77777777" w:rsidR="001D48C2" w:rsidRDefault="00F72B94">
            <w:r>
              <w:rPr>
                <w:sz w:val="20"/>
                <w:szCs w:val="20"/>
              </w:rPr>
              <w:t>(Levensechte contexten)</w:t>
            </w:r>
          </w:p>
          <w:p w14:paraId="006A467A" w14:textId="77777777" w:rsidR="001D48C2" w:rsidRDefault="001D48C2"/>
          <w:p w14:paraId="006A467B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7C" w14:textId="77777777" w:rsidR="001D48C2" w:rsidRDefault="001D48C2"/>
        </w:tc>
      </w:tr>
      <w:tr w:rsidR="001D48C2" w14:paraId="006A4684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7E" w14:textId="77777777" w:rsidR="001D48C2" w:rsidRDefault="00F72B94">
            <w:r>
              <w:rPr>
                <w:sz w:val="20"/>
                <w:szCs w:val="20"/>
              </w:rPr>
              <w:t>Werken met kernconcepten; bijvoorbeeld:</w:t>
            </w:r>
          </w:p>
          <w:p w14:paraId="006A467F" w14:textId="77777777" w:rsidR="001D48C2" w:rsidRDefault="00F72B94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Betavakken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alles bestaat uit deeltjes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)</w:t>
            </w:r>
          </w:p>
          <w:p w14:paraId="006A4680" w14:textId="77777777" w:rsidR="001D48C2" w:rsidRDefault="00F72B94">
            <w:r>
              <w:rPr>
                <w:sz w:val="20"/>
                <w:szCs w:val="20"/>
              </w:rPr>
              <w:t xml:space="preserve">Kunst en cultuur: </w:t>
            </w:r>
            <w:r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inspiratie en vormgeving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)</w:t>
            </w:r>
          </w:p>
          <w:p w14:paraId="006A4681" w14:textId="77777777" w:rsidR="001D48C2" w:rsidRDefault="001D48C2"/>
          <w:p w14:paraId="006A4682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83" w14:textId="77777777" w:rsidR="001D48C2" w:rsidRDefault="001D48C2"/>
        </w:tc>
      </w:tr>
      <w:tr w:rsidR="001D48C2" w14:paraId="006A468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41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85" w14:textId="77777777" w:rsidR="001D48C2" w:rsidRDefault="00F72B94">
            <w:r>
              <w:rPr>
                <w:sz w:val="20"/>
                <w:szCs w:val="20"/>
              </w:rPr>
              <w:t>Ontwerpgericht</w:t>
            </w:r>
          </w:p>
          <w:p w14:paraId="006A4686" w14:textId="77777777" w:rsidR="001D48C2" w:rsidRDefault="00F72B94">
            <w:r>
              <w:rPr>
                <w:sz w:val="20"/>
                <w:szCs w:val="20"/>
              </w:rPr>
              <w:t>(Ontwerpproces staat Centraal)</w:t>
            </w:r>
          </w:p>
          <w:p w14:paraId="006A4687" w14:textId="77777777" w:rsidR="001D48C2" w:rsidRDefault="001D48C2"/>
          <w:p w14:paraId="006A4688" w14:textId="77777777" w:rsidR="001D48C2" w:rsidRDefault="001D48C2"/>
        </w:tc>
        <w:tc>
          <w:tcPr>
            <w:tcW w:w="10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89" w14:textId="77777777" w:rsidR="001D48C2" w:rsidRDefault="001D48C2"/>
        </w:tc>
      </w:tr>
      <w:tr w:rsidR="001D48C2" w14:paraId="006A4690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8B" w14:textId="77777777" w:rsidR="001D48C2" w:rsidRDefault="00F72B94">
            <w:proofErr w:type="spellStart"/>
            <w:r>
              <w:rPr>
                <w:sz w:val="20"/>
                <w:szCs w:val="20"/>
              </w:rPr>
              <w:t>Gamebased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  <w:p w14:paraId="006A468C" w14:textId="77777777" w:rsidR="001D48C2" w:rsidRDefault="00F72B94">
            <w:r>
              <w:rPr>
                <w:sz w:val="20"/>
                <w:szCs w:val="20"/>
              </w:rPr>
              <w:t>(Spelelementen in het onderwijs; spelvorm)</w:t>
            </w:r>
          </w:p>
          <w:p w14:paraId="006A468D" w14:textId="77777777" w:rsidR="001D48C2" w:rsidRDefault="001D48C2"/>
          <w:p w14:paraId="006A468E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8F" w14:textId="77777777" w:rsidR="001D48C2" w:rsidRDefault="001D48C2"/>
        </w:tc>
      </w:tr>
      <w:tr w:rsidR="001D48C2" w14:paraId="006A469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91" w14:textId="77777777" w:rsidR="001D48C2" w:rsidRDefault="00F72B94">
            <w:r>
              <w:rPr>
                <w:sz w:val="20"/>
                <w:szCs w:val="20"/>
              </w:rPr>
              <w:t>Onderzoekend leren</w:t>
            </w:r>
          </w:p>
          <w:p w14:paraId="006A4692" w14:textId="77777777" w:rsidR="001D48C2" w:rsidRDefault="00F72B94">
            <w:r>
              <w:rPr>
                <w:sz w:val="20"/>
                <w:szCs w:val="20"/>
              </w:rPr>
              <w:t>(Stappenplan lesbrieven)</w:t>
            </w:r>
          </w:p>
          <w:p w14:paraId="006A4693" w14:textId="77777777" w:rsidR="001D48C2" w:rsidRDefault="001D48C2"/>
          <w:p w14:paraId="006A4694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95" w14:textId="77777777" w:rsidR="001D48C2" w:rsidRDefault="001D48C2"/>
        </w:tc>
      </w:tr>
      <w:tr w:rsidR="001D48C2" w14:paraId="006A469C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97" w14:textId="77777777" w:rsidR="001D48C2" w:rsidRDefault="00F72B94">
            <w:r>
              <w:rPr>
                <w:sz w:val="20"/>
                <w:szCs w:val="20"/>
              </w:rPr>
              <w:lastRenderedPageBreak/>
              <w:t>21-eeuwse vaardigheden</w:t>
            </w:r>
          </w:p>
          <w:p w14:paraId="006A4698" w14:textId="77777777" w:rsidR="001D48C2" w:rsidRDefault="00F72B94">
            <w:r>
              <w:rPr>
                <w:sz w:val="20"/>
                <w:szCs w:val="20"/>
              </w:rPr>
              <w:t>(Vaardigheden eerst en dan de inhoud)</w:t>
            </w:r>
          </w:p>
          <w:p w14:paraId="006A4699" w14:textId="77777777" w:rsidR="001D48C2" w:rsidRDefault="001D48C2"/>
          <w:p w14:paraId="006A469A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9B" w14:textId="77777777" w:rsidR="001D48C2" w:rsidRDefault="001D48C2"/>
        </w:tc>
      </w:tr>
    </w:tbl>
    <w:p w14:paraId="006A469D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9E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9F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A0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A1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A2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A3" w14:textId="77777777" w:rsidR="001D48C2" w:rsidRDefault="00F72B94">
      <w:pPr>
        <w:rPr>
          <w:rFonts w:ascii="Verdana" w:eastAsia="Verdana" w:hAnsi="Verdana" w:cs="Verdana"/>
          <w:i/>
          <w:i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2A2A2A"/>
          <w:sz w:val="20"/>
          <w:szCs w:val="20"/>
          <w:shd w:val="clear" w:color="auto" w:fill="FFFFFF"/>
        </w:rPr>
        <w:t xml:space="preserve">Toelichting onderdeel C. Dit onderdeel geeft een </w:t>
      </w:r>
      <w:r>
        <w:rPr>
          <w:rFonts w:ascii="Verdana" w:hAnsi="Verdana"/>
          <w:i/>
          <w:iCs/>
          <w:color w:val="2A2A2A"/>
          <w:sz w:val="20"/>
          <w:szCs w:val="20"/>
          <w:shd w:val="clear" w:color="auto" w:fill="FFFFFF"/>
        </w:rPr>
        <w:t>eerste indruk van de competenties van docenten die nodig zijn. Men kan niet van de 1 op de andere dag vakkenintegratie gaan toepassen. Het is een proces, een beweging die op gang gebracht en gestimuleerd moet worden.</w:t>
      </w:r>
    </w:p>
    <w:p w14:paraId="006A46A4" w14:textId="77777777" w:rsidR="001D48C2" w:rsidRDefault="001D48C2">
      <w:pPr>
        <w:rPr>
          <w:rFonts w:ascii="Verdana" w:eastAsia="Verdana" w:hAnsi="Verdana" w:cs="Verdana"/>
          <w:i/>
          <w:iCs/>
          <w:color w:val="2A2A2A"/>
          <w:sz w:val="20"/>
          <w:szCs w:val="20"/>
          <w:shd w:val="clear" w:color="auto" w:fill="FFFFFF"/>
        </w:rPr>
      </w:pP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0281"/>
      </w:tblGrid>
      <w:tr w:rsidR="001D48C2" w14:paraId="006A4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5" w14:textId="77777777" w:rsidR="001D48C2" w:rsidRDefault="00F72B94">
            <w:r>
              <w:rPr>
                <w:rFonts w:ascii="Arial" w:hAnsi="Arial"/>
                <w:b/>
                <w:bCs/>
                <w:sz w:val="20"/>
                <w:szCs w:val="20"/>
              </w:rPr>
              <w:t>C. De rol / competenties van de docent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6" w14:textId="77777777" w:rsidR="001D48C2" w:rsidRDefault="00F72B94">
            <w:pPr>
              <w:pStyle w:val="Tabelstijl1"/>
            </w:pPr>
            <w:r>
              <w:t>O</w:t>
            </w:r>
            <w:r>
              <w:t>pmerkingen</w:t>
            </w:r>
          </w:p>
        </w:tc>
      </w:tr>
      <w:tr w:rsidR="001D48C2" w14:paraId="006A46A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8" w14:textId="77777777" w:rsidR="001D48C2" w:rsidRDefault="00F72B94">
            <w:r>
              <w:rPr>
                <w:sz w:val="20"/>
                <w:szCs w:val="20"/>
              </w:rPr>
              <w:t>Enthousiasme en zelfvertrouwen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9" w14:textId="77777777" w:rsidR="001D48C2" w:rsidRDefault="001D48C2"/>
        </w:tc>
      </w:tr>
      <w:tr w:rsidR="001D48C2" w14:paraId="006A46A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B" w14:textId="77777777" w:rsidR="001D48C2" w:rsidRDefault="00F72B94">
            <w:r>
              <w:rPr>
                <w:sz w:val="20"/>
                <w:szCs w:val="20"/>
              </w:rPr>
              <w:t>Curriculumdeskundigheid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C" w14:textId="77777777" w:rsidR="001D48C2" w:rsidRDefault="001D48C2"/>
        </w:tc>
      </w:tr>
      <w:tr w:rsidR="001D48C2" w14:paraId="006A46B0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1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E" w14:textId="77777777" w:rsidR="001D48C2" w:rsidRDefault="00F72B94">
            <w:r>
              <w:rPr>
                <w:sz w:val="20"/>
                <w:szCs w:val="20"/>
              </w:rPr>
              <w:t>Kennis over vakkenintegratie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AF" w14:textId="77777777" w:rsidR="001D48C2" w:rsidRDefault="001D48C2"/>
        </w:tc>
      </w:tr>
      <w:tr w:rsidR="001D48C2" w14:paraId="006A46B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1" w14:textId="77777777" w:rsidR="001D48C2" w:rsidRDefault="00F72B94">
            <w:r>
              <w:rPr>
                <w:sz w:val="20"/>
                <w:szCs w:val="20"/>
              </w:rPr>
              <w:t>Inhoudelijke vakkennis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2" w14:textId="77777777" w:rsidR="001D48C2" w:rsidRDefault="001D48C2"/>
        </w:tc>
      </w:tr>
      <w:tr w:rsidR="001D48C2" w14:paraId="006A46B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4" w14:textId="77777777" w:rsidR="001D48C2" w:rsidRDefault="00F72B94">
            <w:r>
              <w:rPr>
                <w:sz w:val="20"/>
                <w:szCs w:val="20"/>
              </w:rPr>
              <w:t>Vakdidactische kennis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5" w14:textId="77777777" w:rsidR="001D48C2" w:rsidRDefault="001D48C2"/>
        </w:tc>
      </w:tr>
      <w:tr w:rsidR="001D48C2" w14:paraId="006A46B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7" w14:textId="77777777" w:rsidR="001D48C2" w:rsidRDefault="00F72B94">
            <w:r>
              <w:rPr>
                <w:sz w:val="20"/>
                <w:szCs w:val="20"/>
              </w:rPr>
              <w:t>Het sociale aspect van leren begeleiden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8" w14:textId="77777777" w:rsidR="001D48C2" w:rsidRDefault="001D48C2"/>
        </w:tc>
      </w:tr>
      <w:tr w:rsidR="001D48C2" w14:paraId="006A46BC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A" w14:textId="46BC08A5" w:rsidR="001D48C2" w:rsidRDefault="00F72B94">
            <w:r>
              <w:rPr>
                <w:sz w:val="20"/>
                <w:szCs w:val="20"/>
              </w:rPr>
              <w:lastRenderedPageBreak/>
              <w:t>Mon</w:t>
            </w:r>
            <w:r w:rsidR="00E229C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toren ontwikkeling van leerlingen </w:t>
            </w:r>
            <w:proofErr w:type="spellStart"/>
            <w:r>
              <w:rPr>
                <w:sz w:val="20"/>
                <w:szCs w:val="20"/>
              </w:rPr>
              <w:t>mbt</w:t>
            </w:r>
            <w:proofErr w:type="spellEnd"/>
            <w:r>
              <w:rPr>
                <w:sz w:val="20"/>
                <w:szCs w:val="20"/>
              </w:rPr>
              <w:t xml:space="preserve"> samenhang en leerdoelen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B" w14:textId="77777777" w:rsidR="001D48C2" w:rsidRDefault="001D48C2"/>
        </w:tc>
      </w:tr>
      <w:tr w:rsidR="001D48C2" w14:paraId="006A46BF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D" w14:textId="77777777" w:rsidR="001D48C2" w:rsidRDefault="00F72B94">
            <w:r>
              <w:rPr>
                <w:sz w:val="20"/>
                <w:szCs w:val="20"/>
              </w:rPr>
              <w:t>Samenwerking binne</w:t>
            </w:r>
            <w:r>
              <w:rPr>
                <w:sz w:val="20"/>
                <w:szCs w:val="20"/>
              </w:rPr>
              <w:t>n en tussen docenten en docententeams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BE" w14:textId="77777777" w:rsidR="001D48C2" w:rsidRDefault="001D48C2"/>
        </w:tc>
      </w:tr>
    </w:tbl>
    <w:p w14:paraId="006A46C0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C1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C2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C3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C4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C5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p w14:paraId="006A46C6" w14:textId="77777777" w:rsidR="001D48C2" w:rsidRDefault="00F72B94">
      <w:pPr>
        <w:pStyle w:val="HoofdtekstA"/>
        <w:widowControl w:val="0"/>
        <w:ind w:left="108" w:hanging="1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Toelichting onderdeel D Randvoorwaarden. Dit onderdeel geeft weer in </w:t>
      </w:r>
      <w:r>
        <w:rPr>
          <w:rFonts w:ascii="Verdana" w:hAnsi="Verdana"/>
          <w:i/>
          <w:iCs/>
          <w:sz w:val="20"/>
          <w:szCs w:val="20"/>
        </w:rPr>
        <w:t>hoeverre vanuit het management / schoolleiding vakkenintegratie gefaciliteerd wordt.</w:t>
      </w:r>
    </w:p>
    <w:p w14:paraId="006A46C7" w14:textId="77777777" w:rsidR="001D48C2" w:rsidRDefault="001D48C2">
      <w:pPr>
        <w:pStyle w:val="HoofdtekstA"/>
        <w:widowControl w:val="0"/>
        <w:ind w:left="108" w:hanging="108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0281"/>
      </w:tblGrid>
      <w:tr w:rsidR="001D48C2" w14:paraId="006A4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C8" w14:textId="77777777" w:rsidR="001D48C2" w:rsidRDefault="00F72B94">
            <w:r>
              <w:rPr>
                <w:rFonts w:ascii="Arial" w:hAnsi="Arial"/>
                <w:b/>
                <w:bCs/>
                <w:sz w:val="20"/>
                <w:szCs w:val="20"/>
              </w:rPr>
              <w:t>D. Randvoorwaarden</w:t>
            </w:r>
          </w:p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C9" w14:textId="77777777" w:rsidR="001D48C2" w:rsidRDefault="00F72B94">
            <w:pPr>
              <w:pStyle w:val="Tabelstijl1"/>
            </w:pPr>
            <w:r>
              <w:t>O</w:t>
            </w:r>
            <w:r>
              <w:t>pmerkingen</w:t>
            </w:r>
          </w:p>
        </w:tc>
      </w:tr>
      <w:tr w:rsidR="001D48C2" w14:paraId="006A46D1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CB" w14:textId="77777777" w:rsidR="001D48C2" w:rsidRDefault="00F72B94">
            <w:r>
              <w:rPr>
                <w:sz w:val="20"/>
                <w:szCs w:val="20"/>
              </w:rPr>
              <w:t>Gelegenheid</w:t>
            </w:r>
            <w:r>
              <w:rPr>
                <w:sz w:val="20"/>
                <w:szCs w:val="20"/>
              </w:rPr>
              <w:t xml:space="preserve"> voor docenten en docententeams om samen te werken</w:t>
            </w:r>
          </w:p>
          <w:p w14:paraId="006A46CC" w14:textId="77777777" w:rsidR="001D48C2" w:rsidRDefault="001D48C2"/>
          <w:p w14:paraId="006A46CD" w14:textId="77777777" w:rsidR="001D48C2" w:rsidRDefault="001D48C2"/>
          <w:p w14:paraId="006A46CE" w14:textId="77777777" w:rsidR="001D48C2" w:rsidRDefault="001D48C2"/>
          <w:p w14:paraId="006A46CF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D0" w14:textId="77777777" w:rsidR="001D48C2" w:rsidRDefault="001D48C2"/>
        </w:tc>
      </w:tr>
      <w:tr w:rsidR="001D48C2" w14:paraId="006A46D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D2" w14:textId="77777777" w:rsidR="001D48C2" w:rsidRDefault="00F72B94">
            <w:r>
              <w:rPr>
                <w:sz w:val="20"/>
                <w:szCs w:val="20"/>
              </w:rPr>
              <w:t xml:space="preserve">Ruimte binnen de school voor trainingen van docenten </w:t>
            </w:r>
            <w:r>
              <w:rPr>
                <w:sz w:val="20"/>
                <w:szCs w:val="20"/>
              </w:rPr>
              <w:t>(ontwikkelen benodigde competenties)</w:t>
            </w:r>
          </w:p>
          <w:p w14:paraId="006A46D3" w14:textId="77777777" w:rsidR="001D48C2" w:rsidRDefault="001D48C2"/>
          <w:p w14:paraId="006A46D4" w14:textId="77777777" w:rsidR="001D48C2" w:rsidRDefault="001D48C2"/>
          <w:p w14:paraId="006A46D5" w14:textId="77777777" w:rsidR="001D48C2" w:rsidRDefault="001D48C2"/>
          <w:p w14:paraId="006A46D6" w14:textId="77777777" w:rsidR="001D48C2" w:rsidRDefault="001D48C2"/>
        </w:tc>
        <w:tc>
          <w:tcPr>
            <w:tcW w:w="10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D7" w14:textId="77777777" w:rsidR="001D48C2" w:rsidRDefault="001D48C2"/>
        </w:tc>
      </w:tr>
      <w:tr w:rsidR="001D48C2" w14:paraId="006A46DF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41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D9" w14:textId="77777777" w:rsidR="001D48C2" w:rsidRDefault="00F72B94">
            <w:r>
              <w:rPr>
                <w:sz w:val="20"/>
                <w:szCs w:val="20"/>
              </w:rPr>
              <w:lastRenderedPageBreak/>
              <w:t>Breed gedragen visie op onderwijs en vakkenintegratie</w:t>
            </w:r>
          </w:p>
          <w:p w14:paraId="006A46DA" w14:textId="77777777" w:rsidR="001D48C2" w:rsidRDefault="001D48C2"/>
          <w:p w14:paraId="006A46DB" w14:textId="77777777" w:rsidR="001D48C2" w:rsidRDefault="001D48C2"/>
          <w:p w14:paraId="006A46DC" w14:textId="77777777" w:rsidR="001D48C2" w:rsidRDefault="001D48C2"/>
          <w:p w14:paraId="006A46DD" w14:textId="77777777" w:rsidR="001D48C2" w:rsidRDefault="001D48C2"/>
        </w:tc>
        <w:tc>
          <w:tcPr>
            <w:tcW w:w="10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46DE" w14:textId="77777777" w:rsidR="001D48C2" w:rsidRDefault="001D48C2"/>
        </w:tc>
      </w:tr>
    </w:tbl>
    <w:p w14:paraId="006A46E0" w14:textId="77777777" w:rsidR="001D48C2" w:rsidRDefault="001D48C2">
      <w:pPr>
        <w:pStyle w:val="HoofdtekstA"/>
        <w:widowControl w:val="0"/>
        <w:ind w:left="108" w:hanging="108"/>
      </w:pPr>
    </w:p>
    <w:sectPr w:rsidR="001D48C2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93CE" w14:textId="77777777" w:rsidR="00F72B94" w:rsidRDefault="00F72B94">
      <w:r>
        <w:separator/>
      </w:r>
    </w:p>
  </w:endnote>
  <w:endnote w:type="continuationSeparator" w:id="0">
    <w:p w14:paraId="39002B04" w14:textId="77777777" w:rsidR="00F72B94" w:rsidRDefault="00F7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46E4" w14:textId="38302539" w:rsidR="001D48C2" w:rsidRDefault="00F72B94">
    <w:pPr>
      <w:pStyle w:val="Kop-envoettekst"/>
      <w:tabs>
        <w:tab w:val="clear" w:pos="9020"/>
        <w:tab w:val="center" w:pos="7285"/>
        <w:tab w:val="right" w:pos="1455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229C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899" w14:textId="77777777" w:rsidR="00F72B94" w:rsidRDefault="00F72B94">
      <w:r>
        <w:separator/>
      </w:r>
    </w:p>
  </w:footnote>
  <w:footnote w:type="continuationSeparator" w:id="0">
    <w:p w14:paraId="54B87B71" w14:textId="77777777" w:rsidR="00F72B94" w:rsidRDefault="00F7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46E3" w14:textId="77777777" w:rsidR="001D48C2" w:rsidRDefault="001D48C2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D3C"/>
    <w:multiLevelType w:val="hybridMultilevel"/>
    <w:tmpl w:val="AFFA7EE8"/>
    <w:numStyleLink w:val="Opsomming"/>
  </w:abstractNum>
  <w:abstractNum w:abstractNumId="1" w15:restartNumberingAfterBreak="0">
    <w:nsid w:val="0BAB5C9A"/>
    <w:multiLevelType w:val="hybridMultilevel"/>
    <w:tmpl w:val="AFFA7EE8"/>
    <w:styleLink w:val="Opsomming"/>
    <w:lvl w:ilvl="0" w:tplc="E720578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2B2C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E24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CB5C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EC56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4A17A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0BE2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CE4D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C998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C2"/>
    <w:rsid w:val="001D48C2"/>
    <w:rsid w:val="00E229C2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5FF"/>
  <w15:docId w15:val="{AA76A06D-2FB9-4983-AA67-E91DACC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Tabelstijl1">
    <w:name w:val="Tabelstijl 1"/>
    <w:rPr>
      <w:rFonts w:ascii="Helvetica Neue" w:hAnsi="Helvetica Neue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akintegratie6.webnode.nl/wat-is-vakintegrat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Ineke Veerkamp</cp:lastModifiedBy>
  <cp:revision>2</cp:revision>
  <dcterms:created xsi:type="dcterms:W3CDTF">2021-12-07T11:07:00Z</dcterms:created>
  <dcterms:modified xsi:type="dcterms:W3CDTF">2021-12-07T11:09:00Z</dcterms:modified>
</cp:coreProperties>
</file>